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C6008" w14:textId="18218625"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r>
        <w:rPr>
          <w:rFonts w:ascii="Open Sans" w:hAnsi="Open Sans" w:cs="Open Sans"/>
          <w:color w:val="3C3D48"/>
          <w:sz w:val="21"/>
          <w:szCs w:val="21"/>
        </w:rPr>
        <w:t xml:space="preserve">Nedenfor finner du oversikt over lover, forskrifter og reglementer som er av stor betydning for arkivarbeidet i </w:t>
      </w:r>
      <w:r>
        <w:rPr>
          <w:rFonts w:ascii="Open Sans" w:hAnsi="Open Sans" w:cs="Open Sans"/>
          <w:color w:val="3C3D48"/>
          <w:sz w:val="21"/>
          <w:szCs w:val="21"/>
        </w:rPr>
        <w:t>Vestvågøy kommune</w:t>
      </w:r>
      <w:r>
        <w:rPr>
          <w:rFonts w:ascii="Open Sans" w:hAnsi="Open Sans" w:cs="Open Sans"/>
          <w:color w:val="3C3D48"/>
          <w:sz w:val="21"/>
          <w:szCs w:val="21"/>
        </w:rPr>
        <w:t>. Listen er ikke uttømmende.</w:t>
      </w:r>
    </w:p>
    <w:p w14:paraId="5B1CBE97"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hyperlink r:id="rId4" w:tgtFrame="_blank" w:history="1">
        <w:r>
          <w:rPr>
            <w:rStyle w:val="Hyperkobling"/>
            <w:rFonts w:ascii="Open Sans" w:hAnsi="Open Sans" w:cs="Open Sans"/>
            <w:b/>
            <w:bCs/>
            <w:color w:val="3C3D48"/>
            <w:sz w:val="21"/>
            <w:szCs w:val="21"/>
          </w:rPr>
          <w:t>Arkivlova</w:t>
        </w:r>
      </w:hyperlink>
    </w:p>
    <w:p w14:paraId="78C87CB8"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r>
        <w:rPr>
          <w:rFonts w:ascii="Open Sans" w:hAnsi="Open Sans" w:cs="Open Sans"/>
          <w:color w:val="3C3D48"/>
          <w:sz w:val="21"/>
          <w:szCs w:val="21"/>
        </w:rPr>
        <w:t>Bestemmelsene i arkivloven skal sikre en helhetlig samfunnsdokumentasjon. Formålet er å ta vare på arkiv som inneholder rettighetsdokumentasjon eller har verdi for forskning, kultur og forvaltning. Loven har som formål å sikre arkiv som har betydelig kulturell eller forskningsmessig verdi, eller som inneholder rettslig eller viktig forvaltningsmessig dokumentasjon, slik at disse kan bli tatt vare på og gjort tilgjengelige for ettertiden</w:t>
      </w:r>
    </w:p>
    <w:p w14:paraId="3E65A531"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r>
        <w:rPr>
          <w:rFonts w:ascii="Open Sans" w:hAnsi="Open Sans" w:cs="Open Sans"/>
          <w:color w:val="3C3D48"/>
          <w:sz w:val="21"/>
          <w:szCs w:val="21"/>
        </w:rPr>
        <w:t>Arkivloven gir overordnede og grunnleggende regler om arkiv, særlig om arkiv i offentlig forvaltning. Sammen med de utfyllende forskriftene skal loven utgjøre et fullstendig juridisk rammeverk for alle arkivrelaterte spørsmål i offentlig forvaltning – helt fra dokumentet blir skapt som ledd i den daglige virksomheten, via arkivavgrensing og avlevering av bevaringsverdig arkivmateriale, til oppbevaring i depot og tilgjengeliggjøring for ettertiden.</w:t>
      </w:r>
    </w:p>
    <w:p w14:paraId="51A3CC49"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r>
        <w:rPr>
          <w:rFonts w:ascii="Open Sans" w:hAnsi="Open Sans" w:cs="Open Sans"/>
          <w:color w:val="3C3D48"/>
          <w:sz w:val="21"/>
          <w:szCs w:val="21"/>
        </w:rPr>
        <w:t xml:space="preserve">Virkeområdet for arkivloven er alle offentlige organer unntatt Stortinget og dets </w:t>
      </w:r>
    </w:p>
    <w:p w14:paraId="5C7F1680" w14:textId="5923E8B8"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r>
        <w:rPr>
          <w:rFonts w:ascii="Open Sans" w:hAnsi="Open Sans" w:cs="Open Sans"/>
          <w:color w:val="3C3D48"/>
          <w:sz w:val="21"/>
          <w:szCs w:val="21"/>
        </w:rPr>
        <w:t>organer (§ 5).</w:t>
      </w:r>
    </w:p>
    <w:p w14:paraId="128F1434"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r>
        <w:rPr>
          <w:rFonts w:ascii="Open Sans" w:hAnsi="Open Sans" w:cs="Open Sans"/>
          <w:color w:val="3C3D48"/>
          <w:sz w:val="21"/>
          <w:szCs w:val="21"/>
        </w:rPr>
        <w:t>Arkivloven er inndelt i fire kapitler med til sammen 23 paragrafer</w:t>
      </w:r>
    </w:p>
    <w:p w14:paraId="1606D15B"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r>
        <w:rPr>
          <w:rFonts w:ascii="Open Sans" w:hAnsi="Open Sans" w:cs="Open Sans"/>
          <w:color w:val="3C3D48"/>
          <w:sz w:val="21"/>
          <w:szCs w:val="21"/>
        </w:rPr>
        <w:t>Arkivloven med forskrifter er i sin helhet viktig for arkivarbeidet.</w:t>
      </w:r>
    </w:p>
    <w:p w14:paraId="1E9A47F5"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hyperlink r:id="rId5" w:tgtFrame="_blank" w:history="1">
        <w:r>
          <w:rPr>
            <w:rStyle w:val="Hyperkobling"/>
            <w:rFonts w:ascii="Open Sans" w:hAnsi="Open Sans" w:cs="Open Sans"/>
            <w:b/>
            <w:bCs/>
            <w:color w:val="3C3D48"/>
            <w:sz w:val="21"/>
            <w:szCs w:val="21"/>
          </w:rPr>
          <w:t xml:space="preserve">Forskrift om </w:t>
        </w:r>
        <w:proofErr w:type="spellStart"/>
        <w:r>
          <w:rPr>
            <w:rStyle w:val="Hyperkobling"/>
            <w:rFonts w:ascii="Open Sans" w:hAnsi="Open Sans" w:cs="Open Sans"/>
            <w:b/>
            <w:bCs/>
            <w:color w:val="3C3D48"/>
            <w:sz w:val="21"/>
            <w:szCs w:val="21"/>
          </w:rPr>
          <w:t>offentlege</w:t>
        </w:r>
        <w:proofErr w:type="spellEnd"/>
        <w:r>
          <w:rPr>
            <w:rStyle w:val="Hyperkobling"/>
            <w:rFonts w:ascii="Open Sans" w:hAnsi="Open Sans" w:cs="Open Sans"/>
            <w:b/>
            <w:bCs/>
            <w:color w:val="3C3D48"/>
            <w:sz w:val="21"/>
            <w:szCs w:val="21"/>
          </w:rPr>
          <w:t xml:space="preserve"> arkiv</w:t>
        </w:r>
      </w:hyperlink>
    </w:p>
    <w:p w14:paraId="1FC748D0"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r>
        <w:rPr>
          <w:rFonts w:ascii="Open Sans" w:hAnsi="Open Sans" w:cs="Open Sans"/>
          <w:color w:val="3C3D48"/>
          <w:sz w:val="21"/>
          <w:szCs w:val="21"/>
        </w:rPr>
        <w:t>Arkivforskriften gir overordnede bestemmelser om arkiv i offentlige organer. Hensikten er realisering av arkivlovens formål. Revidert forskrift trådte i kraft 1/1 2018.</w:t>
      </w:r>
    </w:p>
    <w:p w14:paraId="3B411FFD"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r>
        <w:rPr>
          <w:rFonts w:ascii="Open Sans" w:hAnsi="Open Sans" w:cs="Open Sans"/>
          <w:color w:val="3C3D48"/>
          <w:sz w:val="21"/>
          <w:szCs w:val="21"/>
        </w:rPr>
        <w:t>Den nye arkivforskriften erstatter detaljerte regler i den tidligere arkivforskriften med overordnede og funksjonelle krav. Endringene legger til rette for tilpasning til ulike organisatoriske løsninger for arkivarbeidet. Den nye arkivforskriften tar også hensyn til at dokumenter produseres og utveksles i digitale lagringsmedier, og forskriften vil gjelde uavhengig av teknologiske løsninger i arkivdanningen og arkivbevaringen.</w:t>
      </w:r>
    </w:p>
    <w:p w14:paraId="4C75113D"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r>
        <w:rPr>
          <w:rFonts w:ascii="Open Sans" w:hAnsi="Open Sans" w:cs="Open Sans"/>
          <w:color w:val="3C3D48"/>
          <w:sz w:val="21"/>
          <w:szCs w:val="21"/>
        </w:rPr>
        <w:t>Hovedhensikten med revisjonen av riksarkivarens forskrift, har vært å tilrettelegge for iverksetting av den nye arkivforskriften. Mange av bestemmelsene er videreføring av gjeldende rett. Det er foretatt en regelteknisk opprydding med justering av kapitler, nummerering og språk, slik at forskriften fremstår i ny form. Flere av detaljene i den gamle arkivforskriften er flyttet til den nye riksarkivarens forskrift.</w:t>
      </w:r>
    </w:p>
    <w:p w14:paraId="42233351"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r>
        <w:rPr>
          <w:rFonts w:ascii="Open Sans" w:hAnsi="Open Sans" w:cs="Open Sans"/>
          <w:color w:val="3C3D48"/>
          <w:sz w:val="21"/>
          <w:szCs w:val="21"/>
        </w:rPr>
        <w:t>Les mer om endringene i informasjonsskrivet under. I informasjonsskrivet finner du også et forskriftsspeil som viser forholdet mellom bestemmelsene i nye og gamle forskrifter.</w:t>
      </w:r>
    </w:p>
    <w:p w14:paraId="5B748251"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hyperlink r:id="rId6" w:tgtFrame="_blank" w:history="1">
        <w:r>
          <w:rPr>
            <w:rStyle w:val="Hyperkobling"/>
            <w:rFonts w:ascii="Open Sans" w:hAnsi="Open Sans" w:cs="Open Sans"/>
            <w:b/>
            <w:bCs/>
            <w:color w:val="3C3D48"/>
            <w:sz w:val="21"/>
            <w:szCs w:val="21"/>
          </w:rPr>
          <w:t>Behandling av offentlige arkiver</w:t>
        </w:r>
        <w:r>
          <w:rPr>
            <w:rStyle w:val="Hyperkobling"/>
            <w:rFonts w:ascii="Open Sans" w:hAnsi="Open Sans" w:cs="Open Sans"/>
            <w:color w:val="3C3D48"/>
            <w:sz w:val="21"/>
            <w:szCs w:val="21"/>
          </w:rPr>
          <w:t> (</w:t>
        </w:r>
        <w:r>
          <w:rPr>
            <w:rStyle w:val="Hyperkobling"/>
            <w:rFonts w:ascii="Open Sans" w:hAnsi="Open Sans" w:cs="Open Sans"/>
            <w:b/>
            <w:bCs/>
            <w:color w:val="3C3D48"/>
            <w:sz w:val="21"/>
            <w:szCs w:val="21"/>
          </w:rPr>
          <w:t>Riksarkivarens forskrift)</w:t>
        </w:r>
      </w:hyperlink>
    </w:p>
    <w:p w14:paraId="1FB839BD"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r>
        <w:rPr>
          <w:rFonts w:ascii="Open Sans" w:hAnsi="Open Sans" w:cs="Open Sans"/>
          <w:color w:val="3C3D48"/>
          <w:sz w:val="21"/>
          <w:szCs w:val="21"/>
        </w:rPr>
        <w:t>Riksarkivarens forskrift gir utfyllende tekniske og arkivfaglige bestemmelser om arkivrutiner, arkivlokaler, lagringsmedier, avleveringsrutiner mv. Revidert forskrift trådte i kraft 1/1 2018.</w:t>
      </w:r>
    </w:p>
    <w:p w14:paraId="35F7E8D6" w14:textId="77777777" w:rsidR="00215BD6" w:rsidRDefault="00215BD6" w:rsidP="00215BD6">
      <w:pPr>
        <w:pStyle w:val="NormalWeb"/>
        <w:shd w:val="clear" w:color="auto" w:fill="FFFFFF"/>
        <w:spacing w:before="0" w:beforeAutospacing="0" w:after="210" w:afterAutospacing="0"/>
        <w:rPr>
          <w:rFonts w:ascii="Open Sans" w:hAnsi="Open Sans" w:cs="Open Sans"/>
          <w:b/>
          <w:bCs/>
          <w:color w:val="3C3D48"/>
          <w:sz w:val="21"/>
          <w:szCs w:val="21"/>
        </w:rPr>
      </w:pPr>
    </w:p>
    <w:p w14:paraId="21F63BCE" w14:textId="77777777" w:rsidR="00215BD6" w:rsidRDefault="00215BD6" w:rsidP="00215BD6">
      <w:pPr>
        <w:pStyle w:val="NormalWeb"/>
        <w:shd w:val="clear" w:color="auto" w:fill="FFFFFF"/>
        <w:spacing w:before="0" w:beforeAutospacing="0" w:after="210" w:afterAutospacing="0"/>
        <w:rPr>
          <w:rFonts w:ascii="Open Sans" w:hAnsi="Open Sans" w:cs="Open Sans"/>
          <w:b/>
          <w:bCs/>
          <w:color w:val="3C3D48"/>
          <w:sz w:val="21"/>
          <w:szCs w:val="21"/>
        </w:rPr>
      </w:pPr>
    </w:p>
    <w:p w14:paraId="798BD91B" w14:textId="02AC2AE5"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hyperlink r:id="rId7" w:tgtFrame="_blank" w:history="1">
        <w:proofErr w:type="spellStart"/>
        <w:r>
          <w:rPr>
            <w:rStyle w:val="Hyperkobling"/>
            <w:rFonts w:ascii="Open Sans" w:hAnsi="Open Sans" w:cs="Open Sans"/>
            <w:b/>
            <w:bCs/>
            <w:color w:val="3C3D48"/>
            <w:sz w:val="21"/>
            <w:szCs w:val="21"/>
          </w:rPr>
          <w:t>Offentleglova</w:t>
        </w:r>
        <w:proofErr w:type="spellEnd"/>
      </w:hyperlink>
      <w:r>
        <w:rPr>
          <w:rFonts w:ascii="Open Sans" w:hAnsi="Open Sans" w:cs="Open Sans"/>
          <w:b/>
          <w:bCs/>
          <w:color w:val="3C3D48"/>
          <w:sz w:val="21"/>
          <w:szCs w:val="21"/>
        </w:rPr>
        <w:t> </w:t>
      </w:r>
    </w:p>
    <w:p w14:paraId="0514CBA9"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proofErr w:type="spellStart"/>
      <w:r>
        <w:rPr>
          <w:rFonts w:ascii="Open Sans" w:hAnsi="Open Sans" w:cs="Open Sans"/>
          <w:color w:val="3C3D48"/>
          <w:sz w:val="21"/>
          <w:szCs w:val="21"/>
        </w:rPr>
        <w:t>Offentleglova</w:t>
      </w:r>
      <w:proofErr w:type="spellEnd"/>
      <w:r>
        <w:rPr>
          <w:rFonts w:ascii="Open Sans" w:hAnsi="Open Sans" w:cs="Open Sans"/>
          <w:color w:val="3C3D48"/>
          <w:sz w:val="21"/>
          <w:szCs w:val="21"/>
        </w:rPr>
        <w:t xml:space="preserve"> handler om tilgangen til forvaltningsdokument, journaler og andre register for offentligheten. Alle slike dokument er arkivdokument etter definisjonen i</w:t>
      </w:r>
      <w:r>
        <w:rPr>
          <w:rFonts w:ascii="Open Sans" w:hAnsi="Open Sans" w:cs="Open Sans"/>
          <w:color w:val="3C3D48"/>
          <w:sz w:val="21"/>
          <w:szCs w:val="21"/>
        </w:rPr>
        <w:br/>
        <w:t>arkivloven.</w:t>
      </w:r>
    </w:p>
    <w:p w14:paraId="09D5C6C6"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proofErr w:type="spellStart"/>
      <w:r>
        <w:rPr>
          <w:rFonts w:ascii="Open Sans" w:hAnsi="Open Sans" w:cs="Open Sans"/>
          <w:color w:val="3C3D48"/>
          <w:sz w:val="21"/>
          <w:szCs w:val="21"/>
        </w:rPr>
        <w:t>Offentleglova</w:t>
      </w:r>
      <w:proofErr w:type="spellEnd"/>
      <w:r>
        <w:rPr>
          <w:rFonts w:ascii="Open Sans" w:hAnsi="Open Sans" w:cs="Open Sans"/>
          <w:color w:val="3C3D48"/>
          <w:sz w:val="21"/>
          <w:szCs w:val="21"/>
        </w:rPr>
        <w:t xml:space="preserve"> har innvirkning på journalføring, framlegging av offentlig journal og skjerming av informasjon både i journalen og i dokumentene.</w:t>
      </w:r>
    </w:p>
    <w:p w14:paraId="69374C21"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hyperlink r:id="rId8" w:tgtFrame="_blank" w:history="1">
        <w:proofErr w:type="spellStart"/>
        <w:r>
          <w:rPr>
            <w:rStyle w:val="Hyperkobling"/>
            <w:rFonts w:ascii="Open Sans" w:hAnsi="Open Sans" w:cs="Open Sans"/>
            <w:b/>
            <w:bCs/>
            <w:color w:val="3C3D48"/>
            <w:sz w:val="21"/>
            <w:szCs w:val="21"/>
          </w:rPr>
          <w:t>Offentlegforskrifta</w:t>
        </w:r>
        <w:proofErr w:type="spellEnd"/>
      </w:hyperlink>
      <w:r>
        <w:rPr>
          <w:rFonts w:ascii="Open Sans" w:hAnsi="Open Sans" w:cs="Open Sans"/>
          <w:b/>
          <w:bCs/>
          <w:color w:val="3C3D48"/>
          <w:sz w:val="21"/>
          <w:szCs w:val="21"/>
        </w:rPr>
        <w:t> </w:t>
      </w:r>
    </w:p>
    <w:p w14:paraId="097082A8"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r>
        <w:rPr>
          <w:rFonts w:ascii="Open Sans" w:hAnsi="Open Sans" w:cs="Open Sans"/>
          <w:color w:val="3C3D48"/>
          <w:sz w:val="21"/>
          <w:szCs w:val="21"/>
        </w:rPr>
        <w:t xml:space="preserve">Forskriften gir bestemmelser som utfyller, presiserer og gjør unntak fra </w:t>
      </w:r>
      <w:proofErr w:type="spellStart"/>
      <w:r>
        <w:rPr>
          <w:rFonts w:ascii="Open Sans" w:hAnsi="Open Sans" w:cs="Open Sans"/>
          <w:color w:val="3C3D48"/>
          <w:sz w:val="21"/>
          <w:szCs w:val="21"/>
        </w:rPr>
        <w:t>offentleglova</w:t>
      </w:r>
      <w:proofErr w:type="spellEnd"/>
      <w:r>
        <w:rPr>
          <w:rFonts w:ascii="Open Sans" w:hAnsi="Open Sans" w:cs="Open Sans"/>
          <w:color w:val="3C3D48"/>
          <w:sz w:val="21"/>
          <w:szCs w:val="21"/>
        </w:rPr>
        <w:t>, når ikke annet følger av ellers gjeldende bestemmelser.</w:t>
      </w:r>
    </w:p>
    <w:p w14:paraId="3C511364"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hyperlink r:id="rId9" w:tgtFrame="_blank" w:history="1">
        <w:r>
          <w:rPr>
            <w:rStyle w:val="Hyperkobling"/>
            <w:rFonts w:ascii="Open Sans" w:hAnsi="Open Sans" w:cs="Open Sans"/>
            <w:b/>
            <w:bCs/>
            <w:color w:val="3C3D48"/>
            <w:sz w:val="21"/>
            <w:szCs w:val="21"/>
          </w:rPr>
          <w:t>Forvaltningsloven</w:t>
        </w:r>
      </w:hyperlink>
    </w:p>
    <w:p w14:paraId="0D61AB30"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r>
        <w:rPr>
          <w:rFonts w:ascii="Open Sans" w:hAnsi="Open Sans" w:cs="Open Sans"/>
          <w:color w:val="3C3D48"/>
          <w:sz w:val="21"/>
          <w:szCs w:val="21"/>
        </w:rPr>
        <w:t>Forvaltningsloven gir generelle regler om saksbehandling og spesifiserte regler om taushetsplikt, partsoffentlighet og utsiktene for å få tilgang til opplysninger til bruk for forsking uten hinder av taushetsplikten til organet. Dette er ikke regulert av arkivloven.</w:t>
      </w:r>
    </w:p>
    <w:p w14:paraId="76F10B54"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hyperlink r:id="rId10" w:tgtFrame="_blank" w:history="1">
        <w:r>
          <w:rPr>
            <w:rStyle w:val="Hyperkobling"/>
            <w:rFonts w:ascii="Open Sans" w:hAnsi="Open Sans" w:cs="Open Sans"/>
            <w:b/>
            <w:bCs/>
            <w:color w:val="3C3D48"/>
            <w:sz w:val="21"/>
            <w:szCs w:val="21"/>
          </w:rPr>
          <w:t>Forvaltningslovforskriften</w:t>
        </w:r>
      </w:hyperlink>
    </w:p>
    <w:p w14:paraId="184C8CE1"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r>
        <w:rPr>
          <w:rFonts w:ascii="Open Sans" w:hAnsi="Open Sans" w:cs="Open Sans"/>
          <w:color w:val="3C3D48"/>
          <w:sz w:val="21"/>
          <w:szCs w:val="21"/>
        </w:rPr>
        <w:t>Forskriften gir bestemmelser som utfyller, presiserer og gjør unntak fra forvaltningsloven, når ikke annet følger av ellers gjeldende bestemmelser.</w:t>
      </w:r>
    </w:p>
    <w:p w14:paraId="4BC554DA"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hyperlink r:id="rId11" w:tgtFrame="_blank" w:history="1">
        <w:proofErr w:type="spellStart"/>
        <w:r>
          <w:rPr>
            <w:rStyle w:val="Hyperkobling"/>
            <w:rFonts w:ascii="Open Sans" w:hAnsi="Open Sans" w:cs="Open Sans"/>
            <w:b/>
            <w:bCs/>
            <w:color w:val="3C3D48"/>
            <w:sz w:val="21"/>
            <w:szCs w:val="21"/>
          </w:rPr>
          <w:t>eForvaltningsforskriften</w:t>
        </w:r>
        <w:proofErr w:type="spellEnd"/>
      </w:hyperlink>
    </w:p>
    <w:p w14:paraId="6C55031D"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proofErr w:type="spellStart"/>
      <w:r>
        <w:rPr>
          <w:rFonts w:ascii="Open Sans" w:hAnsi="Open Sans" w:cs="Open Sans"/>
          <w:color w:val="3C3D48"/>
          <w:sz w:val="21"/>
          <w:szCs w:val="21"/>
        </w:rPr>
        <w:t>eForvaltningsforskriften</w:t>
      </w:r>
      <w:proofErr w:type="spellEnd"/>
      <w:r>
        <w:rPr>
          <w:rFonts w:ascii="Open Sans" w:hAnsi="Open Sans" w:cs="Open Sans"/>
          <w:color w:val="3C3D48"/>
          <w:sz w:val="21"/>
          <w:szCs w:val="21"/>
        </w:rPr>
        <w:t> gir mer spesifikke regler om elektronisk kommunikasjon med og i forvaltningen, og dette berører arkivdanningen i stor grad. Forskriften inneholder regler om håndtering og arkivering av elektronisk signerte dokument.</w:t>
      </w:r>
    </w:p>
    <w:p w14:paraId="14655A29"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hyperlink r:id="rId12" w:tgtFrame="_blank" w:history="1">
        <w:r>
          <w:rPr>
            <w:rStyle w:val="Hyperkobling"/>
            <w:rFonts w:ascii="Open Sans" w:hAnsi="Open Sans" w:cs="Open Sans"/>
            <w:b/>
            <w:bCs/>
            <w:color w:val="3C3D48"/>
            <w:sz w:val="21"/>
            <w:szCs w:val="21"/>
          </w:rPr>
          <w:t>Kommuneloven</w:t>
        </w:r>
      </w:hyperlink>
    </w:p>
    <w:p w14:paraId="0F409CA8"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r>
        <w:rPr>
          <w:rFonts w:ascii="Open Sans" w:hAnsi="Open Sans" w:cs="Open Sans"/>
          <w:color w:val="3C3D48"/>
          <w:sz w:val="21"/>
          <w:szCs w:val="21"/>
        </w:rPr>
        <w:t>Formålet med denne lov er å legge forholdene til rette for et funksjonsdyktig kommunalt og fylkeskommunalt folkestyre, og for en rasjonell og effektiv forvaltning av de kommunale og fylkeskommunale fellesinteresser innenfor rammen av det nasjonale fellesskap og med sikte på en bærekraftig utvikling. Loven skal også legge til rette for en tillitsskapende forvaltning som bygger på en høy etisk standard.</w:t>
      </w:r>
    </w:p>
    <w:p w14:paraId="3CC690A1"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hyperlink r:id="rId13" w:tgtFrame="_blank" w:history="1">
        <w:r>
          <w:rPr>
            <w:rStyle w:val="Hyperkobling"/>
            <w:rFonts w:ascii="Open Sans" w:hAnsi="Open Sans" w:cs="Open Sans"/>
            <w:b/>
            <w:bCs/>
            <w:color w:val="3C3D48"/>
            <w:sz w:val="21"/>
            <w:szCs w:val="21"/>
          </w:rPr>
          <w:t>Personopplysningsloven</w:t>
        </w:r>
      </w:hyperlink>
    </w:p>
    <w:p w14:paraId="28A741CA"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r>
        <w:rPr>
          <w:rFonts w:ascii="Open Sans" w:hAnsi="Open Sans" w:cs="Open Sans"/>
          <w:color w:val="3C3D48"/>
          <w:sz w:val="21"/>
          <w:szCs w:val="21"/>
        </w:rPr>
        <w:t>Personopplysningsloven og personopplysningsforskriften gjelder håndtering av personopplysninger som helt eller delvis skjer med elektroniske hjelpemiddel, og annen håndtering av personopplysninger når de inngår i eller skal inngå i et personregister.</w:t>
      </w:r>
    </w:p>
    <w:p w14:paraId="339398EF"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r>
        <w:rPr>
          <w:rFonts w:ascii="Open Sans" w:hAnsi="Open Sans" w:cs="Open Sans"/>
          <w:color w:val="3C3D48"/>
          <w:sz w:val="21"/>
          <w:szCs w:val="21"/>
        </w:rPr>
        <w:t>Offentlige personregister er til vanlig offentlig arkivmateriale, og offentlige arkiv inneholder store mengder personopplysninger som blir håndtert elektronisk. Dette får blant annet konsekvenser for journalføring, skjerming og arkivering av både dokument og opplysninger.</w:t>
      </w:r>
    </w:p>
    <w:p w14:paraId="405EC54B"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r>
        <w:rPr>
          <w:rFonts w:ascii="Open Sans" w:hAnsi="Open Sans" w:cs="Open Sans"/>
          <w:color w:val="3C3D48"/>
          <w:sz w:val="21"/>
          <w:szCs w:val="21"/>
        </w:rPr>
        <w:t>Personregisterforskriften og nærmere bestemmelser om hvilke arkiver som er fritatt for konsesjonsplikt finner du på hjemmesiden til </w:t>
      </w:r>
      <w:hyperlink r:id="rId14" w:history="1">
        <w:r>
          <w:rPr>
            <w:rStyle w:val="Hyperkobling"/>
            <w:rFonts w:ascii="Open Sans" w:hAnsi="Open Sans" w:cs="Open Sans"/>
            <w:color w:val="3C3D48"/>
            <w:sz w:val="21"/>
            <w:szCs w:val="21"/>
          </w:rPr>
          <w:t>Datatilsynet</w:t>
        </w:r>
      </w:hyperlink>
      <w:r>
        <w:rPr>
          <w:rFonts w:ascii="Open Sans" w:hAnsi="Open Sans" w:cs="Open Sans"/>
          <w:color w:val="3C3D48"/>
          <w:sz w:val="21"/>
          <w:szCs w:val="21"/>
        </w:rPr>
        <w:t> .</w:t>
      </w:r>
    </w:p>
    <w:p w14:paraId="6D1164FD"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p>
    <w:p w14:paraId="0EC39821" w14:textId="7E61128B"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hyperlink r:id="rId15" w:tgtFrame="_blank" w:history="1">
        <w:r>
          <w:rPr>
            <w:rStyle w:val="Hyperkobling"/>
            <w:rFonts w:ascii="Open Sans" w:hAnsi="Open Sans" w:cs="Open Sans"/>
            <w:b/>
            <w:bCs/>
            <w:color w:val="3C3D48"/>
            <w:sz w:val="21"/>
            <w:szCs w:val="21"/>
          </w:rPr>
          <w:t>Personopplysningsforskriften</w:t>
        </w:r>
      </w:hyperlink>
    </w:p>
    <w:p w14:paraId="00AFE137"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r>
        <w:rPr>
          <w:rFonts w:ascii="Open Sans" w:hAnsi="Open Sans" w:cs="Open Sans"/>
          <w:color w:val="3C3D48"/>
          <w:sz w:val="21"/>
          <w:szCs w:val="21"/>
        </w:rPr>
        <w:t xml:space="preserve">Forskriften gir bestemmelser som utfyller, presiserer og gjør unntak fra </w:t>
      </w:r>
      <w:proofErr w:type="spellStart"/>
      <w:r>
        <w:rPr>
          <w:rFonts w:ascii="Open Sans" w:hAnsi="Open Sans" w:cs="Open Sans"/>
          <w:color w:val="3C3D48"/>
          <w:sz w:val="21"/>
          <w:szCs w:val="21"/>
        </w:rPr>
        <w:t>offentleglova</w:t>
      </w:r>
      <w:proofErr w:type="spellEnd"/>
      <w:r>
        <w:rPr>
          <w:rFonts w:ascii="Open Sans" w:hAnsi="Open Sans" w:cs="Open Sans"/>
          <w:color w:val="3C3D48"/>
          <w:sz w:val="21"/>
          <w:szCs w:val="21"/>
        </w:rPr>
        <w:t>, når ikke annet følger av ellers gjeldende bestemmelser.</w:t>
      </w:r>
    </w:p>
    <w:p w14:paraId="765FA96F"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hyperlink r:id="rId16" w:tgtFrame="_blank" w:history="1">
        <w:r>
          <w:rPr>
            <w:rStyle w:val="Hyperkobling"/>
            <w:rFonts w:ascii="Open Sans" w:hAnsi="Open Sans" w:cs="Open Sans"/>
            <w:b/>
            <w:bCs/>
            <w:color w:val="3C3D48"/>
            <w:sz w:val="21"/>
            <w:szCs w:val="21"/>
          </w:rPr>
          <w:t>Pliktavleveringsloven</w:t>
        </w:r>
      </w:hyperlink>
    </w:p>
    <w:p w14:paraId="4EF3F8D7"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r>
        <w:rPr>
          <w:rFonts w:ascii="Open Sans" w:hAnsi="Open Sans" w:cs="Open Sans"/>
          <w:color w:val="3C3D48"/>
          <w:sz w:val="21"/>
          <w:szCs w:val="21"/>
        </w:rPr>
        <w:t xml:space="preserve">Pliktavleveringsloven omhandler dokumenter som er gjort tilgjengelige for allmennheten, og fastslår generell avleveringsplikt til Nasjonalbiblioteket. I forhold til arkivmateriale har loven først og fremst betydning for å definere grenseoppgangen mot </w:t>
      </w:r>
      <w:proofErr w:type="spellStart"/>
      <w:r>
        <w:rPr>
          <w:rFonts w:ascii="Open Sans" w:hAnsi="Open Sans" w:cs="Open Sans"/>
          <w:color w:val="3C3D48"/>
          <w:sz w:val="21"/>
          <w:szCs w:val="21"/>
        </w:rPr>
        <w:t>biblioteksmateriale</w:t>
      </w:r>
      <w:proofErr w:type="spellEnd"/>
      <w:r>
        <w:rPr>
          <w:rFonts w:ascii="Open Sans" w:hAnsi="Open Sans" w:cs="Open Sans"/>
          <w:color w:val="3C3D48"/>
          <w:sz w:val="21"/>
          <w:szCs w:val="21"/>
        </w:rPr>
        <w:t>. </w:t>
      </w:r>
    </w:p>
    <w:p w14:paraId="009E3CAE"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hyperlink r:id="rId17" w:tgtFrame="_blank" w:history="1">
        <w:r>
          <w:rPr>
            <w:rStyle w:val="Hyperkobling"/>
            <w:rFonts w:ascii="Open Sans" w:hAnsi="Open Sans" w:cs="Open Sans"/>
            <w:b/>
            <w:bCs/>
            <w:color w:val="3C3D48"/>
            <w:sz w:val="21"/>
            <w:szCs w:val="21"/>
          </w:rPr>
          <w:t>Åndsverksloven</w:t>
        </w:r>
      </w:hyperlink>
    </w:p>
    <w:p w14:paraId="518A9A41" w14:textId="77777777" w:rsidR="00215BD6" w:rsidRDefault="00215BD6" w:rsidP="00215BD6">
      <w:pPr>
        <w:pStyle w:val="NormalWeb"/>
        <w:shd w:val="clear" w:color="auto" w:fill="FFFFFF"/>
        <w:spacing w:before="0" w:beforeAutospacing="0" w:after="210" w:afterAutospacing="0"/>
        <w:rPr>
          <w:rFonts w:ascii="Open Sans" w:hAnsi="Open Sans" w:cs="Open Sans"/>
          <w:color w:val="3C3D48"/>
          <w:sz w:val="21"/>
          <w:szCs w:val="21"/>
        </w:rPr>
      </w:pPr>
      <w:r>
        <w:rPr>
          <w:rFonts w:ascii="Open Sans" w:hAnsi="Open Sans" w:cs="Open Sans"/>
          <w:color w:val="3C3D48"/>
          <w:sz w:val="21"/>
          <w:szCs w:val="21"/>
        </w:rPr>
        <w:t>Åndsverkloven sier at den som skaper et åndsverk har opphavsrett til verket. Med åndsverk menes i denne loven litterære, vitenskapelige eller kunstneriske verk av alle slag og uten hensyn til uttrykksmåte og uttrykksform. Loven setter grenser for bruk av materiale som kommer inn under reglene i loven. I praksis fører det til at loven også setter grenser for bruken av arkivmateriale i offentlige arkiv.</w:t>
      </w:r>
    </w:p>
    <w:p w14:paraId="29D39DF2" w14:textId="77777777" w:rsidR="00215BD6" w:rsidRDefault="00215BD6"/>
    <w:sectPr w:rsidR="00215B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BD6"/>
    <w:rsid w:val="00215BD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F4EA1"/>
  <w15:chartTrackingRefBased/>
  <w15:docId w15:val="{5F4E6A40-CDF7-4A67-8627-3E589C965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215BD6"/>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character" w:styleId="Hyperkobling">
    <w:name w:val="Hyperlink"/>
    <w:basedOn w:val="Standardskriftforavsnitt"/>
    <w:uiPriority w:val="99"/>
    <w:semiHidden/>
    <w:unhideWhenUsed/>
    <w:rsid w:val="00215B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40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vdata.no/dokument/SF/forskrift/2008-10-17-1119?q=offentleglova" TargetMode="External"/><Relationship Id="rId13" Type="http://schemas.openxmlformats.org/officeDocument/2006/relationships/hyperlink" Target="https://lovdata.no/dokument/NL/lov/2018-06-15-38?q=personopplysningsloven"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lovdata.no/dokument/NL/lov/2006-05-19-16" TargetMode="External"/><Relationship Id="rId12" Type="http://schemas.openxmlformats.org/officeDocument/2006/relationships/hyperlink" Target="https://lovdata.no/dokument/NL/lov/1992-09-25-107?q=kommuneloven" TargetMode="External"/><Relationship Id="rId17" Type="http://schemas.openxmlformats.org/officeDocument/2006/relationships/hyperlink" Target="https://lovdata.no/dokument/LTI/lov/2018-06-15-40" TargetMode="External"/><Relationship Id="rId2" Type="http://schemas.openxmlformats.org/officeDocument/2006/relationships/settings" Target="settings.xml"/><Relationship Id="rId16" Type="http://schemas.openxmlformats.org/officeDocument/2006/relationships/hyperlink" Target="https://lovdata.no/dokument/NL/lov/1989-06-09-32?q=pliktavleveringsloven" TargetMode="External"/><Relationship Id="rId1" Type="http://schemas.openxmlformats.org/officeDocument/2006/relationships/styles" Target="styles.xml"/><Relationship Id="rId6" Type="http://schemas.openxmlformats.org/officeDocument/2006/relationships/hyperlink" Target="https://lovdata.no/dokument/SF/forskrift/2017-12-19-2286" TargetMode="External"/><Relationship Id="rId11" Type="http://schemas.openxmlformats.org/officeDocument/2006/relationships/hyperlink" Target="https://lovdata.no/dokument/SF/forskrift/2004-06-25-988?q=eforvaltningsforskrift" TargetMode="External"/><Relationship Id="rId5" Type="http://schemas.openxmlformats.org/officeDocument/2006/relationships/hyperlink" Target="https://lovdata.no/dokument/SF/forskrift/2017-12-15-2105" TargetMode="External"/><Relationship Id="rId15" Type="http://schemas.openxmlformats.org/officeDocument/2006/relationships/hyperlink" Target="https://lovdata.no/dokument/SF/forskrift/2018-06-15-876?q=personopplysningsforskriften" TargetMode="External"/><Relationship Id="rId10" Type="http://schemas.openxmlformats.org/officeDocument/2006/relationships/hyperlink" Target="https://lovdata.no/dokument/SF/forskrift/2006-12-15-1456?q=Forvaltningsloven" TargetMode="External"/><Relationship Id="rId19" Type="http://schemas.openxmlformats.org/officeDocument/2006/relationships/theme" Target="theme/theme1.xml"/><Relationship Id="rId4" Type="http://schemas.openxmlformats.org/officeDocument/2006/relationships/hyperlink" Target="https://lovdata.no/dokument/NL/lov/1992-12-04-126?q=arkivloven" TargetMode="External"/><Relationship Id="rId9" Type="http://schemas.openxmlformats.org/officeDocument/2006/relationships/hyperlink" Target="http://lovdata.no/dokument/NL/lov/1967-02-10" TargetMode="External"/><Relationship Id="rId14" Type="http://schemas.openxmlformats.org/officeDocument/2006/relationships/hyperlink" Target="http://www.datatilsynet.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1150</Words>
  <Characters>6097</Characters>
  <Application>Microsoft Office Word</Application>
  <DocSecurity>0</DocSecurity>
  <Lines>50</Lines>
  <Paragraphs>14</Paragraphs>
  <ScaleCrop>false</ScaleCrop>
  <Company>VVK Skole</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Wenche Karlsen</dc:creator>
  <cp:keywords/>
  <dc:description/>
  <cp:lastModifiedBy>Wenche Karlsen</cp:lastModifiedBy>
  <cp:revision>1</cp:revision>
  <dcterms:created xsi:type="dcterms:W3CDTF">2023-07-26T12:35:00Z</dcterms:created>
  <dcterms:modified xsi:type="dcterms:W3CDTF">2023-07-26T12:36:00Z</dcterms:modified>
</cp:coreProperties>
</file>